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项目编号：2018174</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上海政法学院教工活动中心钢琴采购项目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采购文件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二O一八年十一月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w:t>
      </w:r>
      <w:r>
        <w:rPr>
          <w:rFonts w:ascii="宋体" w:hAnsi="宋体" w:cs="宋体" w:eastAsia="宋体"/>
          <w:b/>
          <w:color w:val="333333"/>
          <w:spacing w:val="0"/>
          <w:position w:val="0"/>
          <w:sz w:val="24"/>
          <w:shd w:fill="FFFFFF" w:val="clear"/>
        </w:rPr>
        <w:t xml:space="preserve">上海政法学院教工活动中心钢琴采购</w:t>
      </w:r>
      <w:r>
        <w:rPr>
          <w:rFonts w:ascii="宋体" w:hAnsi="宋体" w:cs="宋体" w:eastAsia="宋体"/>
          <w:color w:val="333333"/>
          <w:spacing w:val="0"/>
          <w:position w:val="0"/>
          <w:sz w:val="24"/>
          <w:shd w:fill="FFFFFF" w:val="clear"/>
        </w:rPr>
        <w:t xml:space="preserve">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1、招标编号：2018174</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2、预算金额：9.8万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3、工期要求：合同签订后14天内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4、项目名称：上海政法学院教工活动中心钢琴采购</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1．投标公司符合《中华人民共和国政府采购法》第二十二条规定；</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2．具有中华人民共和国境内注册的独立法人资格及相应的经营范围；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根据财库（2016）125号文，投标人应未被列入失信被执行人、重大税收违法案件当事人名单、政府采购严重违法失信行为记录名单及其他不符合《中华人民共和国政府采购法》第二十二条规定条件。该记录以“信用中国”网站（http://www.creditchina.gov.cn）、中国政府采购网（http://www.ccgp.gov.cn）的查询结果为准；</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4．投标公司需提供营业执照（或事业单位、社会团体法人证书）、税务登记证（若为多证合一的仅需提供营业执照）；</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递交截止时间：2018年11月14日上午9时00分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响应文件一正二副装入封袋，封面注明：项目编号、供应商名称、地址、电话和传真，封口处加盖供应商公章。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r>
        <w:rPr>
          <w:rFonts w:ascii="Times New Roman" w:hAnsi="Times New Roman" w:cs="Times New Roman" w:eastAsia="Times New Roman"/>
          <w:color w:val="auto"/>
          <w:spacing w:val="0"/>
          <w:position w:val="0"/>
          <w:sz w:val="21"/>
          <w:shd w:fill="auto" w:val="clear"/>
        </w:rPr>
        <w:t xml:space="preserve">                            </w:t>
      </w:r>
      <w:r>
        <w:rPr>
          <w:rFonts w:ascii="宋体" w:hAnsi="宋体" w:cs="宋体" w:eastAsia="宋体"/>
          <w:color w:val="auto"/>
          <w:spacing w:val="0"/>
          <w:position w:val="0"/>
          <w:sz w:val="24"/>
          <w:shd w:fill="auto" w:val="clear"/>
        </w:rPr>
        <w:t xml:space="preserve">                                                                           2018年11月7日</w:t>
        <w:t xml:space="preserve"> </w:t>
      </w:r>
    </w:p>
    <w:p>
      <w:pPr>
        <w:widowControl w:val="false"/>
        <w:spacing w:before="0" w:after="0" w:line="360"/>
        <w:ind w:right="0" w:left="0" w:firstLine="65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项目名称：上海政法学院教工活动中心钢琴采购</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项目金额：9.8万元（报价超过采购预算的投标不予接受）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项目编号：2018174</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项目背景</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为丰富教职工的业余生活，学校工会生活委员会同意添置一台钢琴及配件。</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货物技术要求</w:t>
      </w:r>
    </w:p>
    <w:tbl>
      <w:tblPr/>
      <w:tblGrid>
        <w:gridCol w:w="1287"/>
        <w:gridCol w:w="1287"/>
        <w:gridCol w:w="720"/>
        <w:gridCol w:w="2033"/>
        <w:gridCol w:w="2160"/>
      </w:tblGrid>
      <w:tr>
        <w:trPr>
          <w:trHeight w:val="285" w:hRule="auto"/>
          <w:jc w:val="center"/>
        </w:trPr>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货物数量</w:t>
            </w:r>
          </w:p>
        </w:tc>
        <w:tc>
          <w:tcPr>
            <w:tcW w:w="20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性能指标参数</w:t>
            </w:r>
          </w:p>
        </w:tc>
        <w:tc>
          <w:tcPr>
            <w:tcW w:w="2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w:t>
            </w:r>
          </w:p>
        </w:tc>
      </w:tr>
      <w:tr>
        <w:trPr>
          <w:trHeight w:val="2140" w:hRule="auto"/>
          <w:jc w:val="center"/>
        </w:trPr>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三角钢琴</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20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尺寸：1860*1500*1020mm</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颜色：黑色</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键盘数：88个</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踏板：3个</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红木弦槌</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内置金色缓降</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云杉实木白键</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铁骨框架</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进口乌钛销钉</w:t>
            </w:r>
          </w:p>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全音域定弦钮</w:t>
            </w:r>
          </w:p>
        </w:tc>
        <w:tc>
          <w:tcPr>
            <w:tcW w:w="2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到货时自弹系统已安装</w:t>
            </w:r>
          </w:p>
        </w:tc>
      </w:tr>
      <w:tr>
        <w:trPr>
          <w:trHeight w:val="1870" w:hRule="auto"/>
          <w:jc w:val="center"/>
        </w:trPr>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自弹系统</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20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适用钢琴：三角钢琴</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力度级别：127级</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Cortex-M处理器</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配备U盘</w:t>
            </w:r>
          </w:p>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厂家负责定期更新曲目 </w:t>
            </w:r>
          </w:p>
        </w:tc>
        <w:tc>
          <w:tcPr>
            <w:tcW w:w="2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center"/>
        <w:rPr>
          <w:rFonts w:ascii="宋体" w:hAnsi="宋体" w:cs="宋体" w:eastAsia="宋体"/>
          <w:color w:val="auto"/>
          <w:spacing w:val="0"/>
          <w:position w:val="0"/>
          <w:sz w:val="28"/>
          <w:shd w:fill="auto" w:val="clear"/>
        </w:rPr>
      </w:pP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附注：供货商需要负责将自弹系统和三角钢琴进行安装、整合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其他要求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1、合同签订后14日内到货。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2、货物送到采购方指定的地点，搬运安装费用包含在总价内。</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3、所有货物保修24个月，在质保期内，钢琴每半年调音一次。调音师需持有专业资格证书。</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4、保修期内，如果采购方钢琴需要搬迁，供货方可免费提供一次钢琴的搬运服务，且无偿加赠一次钢琴调音服务。</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5、自弹系统内曲目可提供半年一次的更新升级。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交货期：合同签订后14天内交货。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质保期：验收合格后不少于24个月。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交付地址：用户指定地点。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验收方法：成交方根据合同交货期交货，由采购人进行检测，检测合格后完成验收（费用由成交单位支付）；反之检测不合格，不予验收。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验收合格后一次付清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采购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报价书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其他相关资料（采购文件未提供，响应方认为应提供的相关资料）</w:t>
        <w:t xml:space="preserve"> </w:t>
      </w:r>
    </w:p>
    <w:p>
      <w:pPr>
        <w:spacing w:before="0" w:after="0" w:line="360"/>
        <w:ind w:right="0" w:left="324" w:hanging="324"/>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第三部分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报价表</w:t>
      </w:r>
    </w:p>
    <w:p>
      <w:pPr>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p>
      <w:pPr>
        <w:tabs>
          <w:tab w:val="right" w:pos="9179" w:leader="none"/>
        </w:tabs>
        <w:spacing w:before="0" w:after="0" w:line="360"/>
        <w:ind w:right="0" w:left="0" w:firstLine="0"/>
        <w:jc w:val="both"/>
        <w:rPr>
          <w:rFonts w:ascii="宋体" w:hAnsi="宋体" w:cs="宋体" w:eastAsia="宋体"/>
          <w:color w:val="auto"/>
          <w:spacing w:val="0"/>
          <w:position w:val="0"/>
          <w:sz w:val="21"/>
          <w:u w:val="single"/>
          <w:shd w:fill="auto" w:val="clear"/>
        </w:rPr>
      </w:pPr>
    </w:p>
    <w:tbl>
      <w:tblPr/>
      <w:tblGrid>
        <w:gridCol w:w="2518"/>
        <w:gridCol w:w="1855"/>
        <w:gridCol w:w="2126"/>
        <w:gridCol w:w="1984"/>
        <w:gridCol w:w="1786"/>
      </w:tblGrid>
      <w:tr>
        <w:trPr>
          <w:trHeight w:val="708"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包号</w:t>
            </w: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交货期（天）</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质保期（月）</w:t>
            </w: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金额（元）</w:t>
            </w:r>
          </w:p>
        </w:tc>
      </w:tr>
      <w:tr>
        <w:trPr>
          <w:trHeight w:val="712"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50"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报价（大写）</w:t>
            </w:r>
          </w:p>
        </w:tc>
        <w:tc>
          <w:tcPr>
            <w:tcW w:w="7751"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备注：报价包含调试费、检验费、培训费等一切相关费用。</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 此表与磋商书正本（除磋商保证金）一同装在一单独的信封内密封。</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50"/>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5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是否可免费赠送配件</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包装费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5</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运费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检测费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6</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其他</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273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c>
          <w:tcPr>
            <w:tcW w:w="67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3.总价包含安装调试费、检验费、培训费等相关所有费用。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附件5</w:t>
      </w:r>
    </w:p>
    <w:p>
      <w:pPr>
        <w:spacing w:before="0" w:after="0" w:line="360"/>
        <w:ind w:right="0" w:left="0" w:firstLine="0"/>
        <w:jc w:val="center"/>
        <w:rPr>
          <w:rFonts w:ascii="宋体" w:hAnsi="宋体" w:cs="宋体" w:eastAsia="宋体"/>
          <w:color w:val="auto"/>
          <w:spacing w:val="0"/>
          <w:position w:val="0"/>
          <w:sz w:val="48"/>
          <w:shd w:fill="auto" w:val="clear"/>
        </w:rPr>
      </w:pPr>
      <w:r>
        <w:rPr>
          <w:rFonts w:ascii="宋体" w:hAnsi="宋体" w:cs="宋体" w:eastAsia="宋体"/>
          <w:b/>
          <w:color w:val="auto"/>
          <w:spacing w:val="0"/>
          <w:position w:val="0"/>
          <w:sz w:val="32"/>
          <w:shd w:fill="auto" w:val="clear"/>
        </w:rPr>
        <w:t xml:space="preserve">规格、技术参数偏离表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p>
    <w:tbl>
      <w:tblPr/>
      <w:tblGrid>
        <w:gridCol w:w="1343"/>
        <w:gridCol w:w="2684"/>
        <w:gridCol w:w="1342"/>
        <w:gridCol w:w="1342"/>
        <w:gridCol w:w="1342"/>
        <w:gridCol w:w="1342"/>
      </w:tblGrid>
      <w:tr>
        <w:trPr>
          <w:trHeight w:val="80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内 容</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磋商要求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响应要求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偏 离</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说 明</w:t>
            </w: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附件13</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36">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