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项目编号：2018134</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19-27号学生公寓消防应急灯改造项目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二O一八年九月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19-27号学生公寓消防应急灯改造</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1、招标编号：2018134</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2、预算金额：6万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3、工期要求：合同签订后14天内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4、项目名称：19-27号学生公寓消防应急灯改造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3、承建方应具有消防设施工程、公共安全防范工程资质。</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递交截止时间：2018年9月30日上午9时00分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2018年9月21日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560"/>
        <w:ind w:right="0" w:left="0" w:firstLine="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项目名称：19-27号学生公寓消防应急灯改造</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项目金额：6万元（报价超过采购预算的投标不予接受）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项目编号：2018134</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二、</w:t>
        <w:tab/>
        <w:t xml:space="preserve">采购货物清单</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1、消防应急灯（充电式双头）：151只，</w:t>
      </w:r>
    </w:p>
    <w:p>
      <w:pPr>
        <w:spacing w:before="0" w:after="0" w:line="36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2、三芯电线（2.5平方）：453米</w:t>
      </w:r>
    </w:p>
    <w:p>
      <w:pPr>
        <w:spacing w:before="0" w:after="0" w:line="36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3、穿线管（PVC）：453米</w:t>
      </w:r>
    </w:p>
    <w:p>
      <w:pPr>
        <w:spacing w:before="0" w:after="0" w:line="36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4、插座（含面板、暗盒）：151只</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1）承建方应具有消防设施工程、公共安全防范工程资质。</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2）改造电路设计、安装及电器设备应符合国家和行业相关标准。</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3）投标人应充分了解本项目需求，提供完整的技术方案。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投标人可自行对现场和周围环境进行踏勘，以获取有关编制投标文件所需的各种资料，如现有设备情况、材料加工、材料堆放及用水、电和道路运输等因素，都应在投标时一并考虑。一经中标，不得以不完全了解现场情况为借口，而提出延长合同期和提高合同价等要求。投标人应自行承担现场踏勘的责任和风险，踏勘现场的费用由投标人承担。</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交货期：合同签订后14天内交货。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质保期：验收合格后一年。</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交付地址：用户指定地点。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验收方法：成交方根据合同交货期交货，由采购人进行检测，检测合格后完成验收（费用由成交单位支付）；反之检测不合格，不予验收。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验收合格后一次付清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磋商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磋商书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磋商报价表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生产工艺或进货渠道</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生产设备清单</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正在进行的和承接的项目情况表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15.</w:t>
        <w:tab/>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16.</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17.</w:t>
        <w:tab/>
        <w:t xml:space="preserve">中小企业声明函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18.</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19.</w:t>
        <w:tab/>
        <w:t xml:space="preserve">其他相关资料（磋商文件未提供，响应方认为应提供的相关资料）</w:t>
        <w:t xml:space="preserve"> </w:t>
      </w:r>
    </w:p>
    <w:p>
      <w:pPr>
        <w:spacing w:before="0" w:after="0" w:line="360"/>
        <w:ind w:right="0" w:left="324" w:hanging="324"/>
        <w:jc w:val="center"/>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第五部分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27"/>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附件18</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27">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